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F" w:rsidRPr="00FD3133" w:rsidRDefault="002B0DB0" w:rsidP="0034529F">
      <w:pPr>
        <w:rPr>
          <w:b/>
          <w:sz w:val="48"/>
          <w:lang w:val="en-GB"/>
        </w:rPr>
      </w:pPr>
      <w:bookmarkStart w:id="0" w:name="_GoBack"/>
      <w:bookmarkEnd w:id="0"/>
      <w:r w:rsidRPr="00FD3133">
        <w:rPr>
          <w:b/>
          <w:sz w:val="48"/>
          <w:lang w:val="en-GB"/>
        </w:rPr>
        <w:t xml:space="preserve">€5.3 million tender for Hybrid </w:t>
      </w:r>
      <w:r w:rsidR="00AF4CD3" w:rsidRPr="00FD3133">
        <w:rPr>
          <w:b/>
          <w:sz w:val="48"/>
          <w:lang w:val="en-GB"/>
        </w:rPr>
        <w:t>C</w:t>
      </w:r>
      <w:r w:rsidRPr="00FD3133">
        <w:rPr>
          <w:b/>
          <w:sz w:val="48"/>
          <w:lang w:val="en-GB"/>
        </w:rPr>
        <w:t xml:space="preserve">loud </w:t>
      </w:r>
      <w:r w:rsidR="00AF4CD3" w:rsidRPr="00FD3133">
        <w:rPr>
          <w:b/>
          <w:sz w:val="48"/>
          <w:lang w:val="en-GB"/>
        </w:rPr>
        <w:t>P</w:t>
      </w:r>
      <w:r w:rsidRPr="00FD3133">
        <w:rPr>
          <w:b/>
          <w:sz w:val="48"/>
          <w:lang w:val="en-GB"/>
        </w:rPr>
        <w:t>latform</w:t>
      </w:r>
      <w:r w:rsidR="00482A3C">
        <w:rPr>
          <w:b/>
          <w:sz w:val="48"/>
          <w:lang w:val="en-GB"/>
        </w:rPr>
        <w:t xml:space="preserve"> serving science</w:t>
      </w:r>
    </w:p>
    <w:p w:rsidR="00AF4CD3" w:rsidRPr="003D1CCE" w:rsidRDefault="00AF4CD3" w:rsidP="00AF4CD3">
      <w:pPr>
        <w:jc w:val="both"/>
        <w:rPr>
          <w:lang w:val="en-GB"/>
        </w:rPr>
      </w:pPr>
      <w:r w:rsidRPr="00AF4CD3">
        <w:rPr>
          <w:lang w:val="en-GB"/>
        </w:rPr>
        <w:t>21 July 2016</w:t>
      </w:r>
    </w:p>
    <w:p w:rsidR="00B44C23" w:rsidRPr="00B44C23" w:rsidRDefault="003B75CB" w:rsidP="00B44C23">
      <w:pPr>
        <w:jc w:val="both"/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</w:pPr>
      <w:r>
        <w:rPr>
          <w:rFonts w:ascii="Calibri" w:eastAsia="Calibri" w:hAnsi="Calibri" w:cs="Times New Roman"/>
          <w:sz w:val="24"/>
          <w:szCs w:val="24"/>
          <w:lang w:val="en-GB" w:eastAsia="en-GB"/>
        </w:rPr>
        <w:t>T</w:t>
      </w:r>
      <w:r w:rsidR="00417F49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oday</w:t>
      </w:r>
      <w:r w:rsidR="00417F49" w:rsidDel="00417F49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AE251B">
        <w:rPr>
          <w:rFonts w:ascii="Calibri" w:eastAsia="Calibri" w:hAnsi="Calibri" w:cs="Times New Roman"/>
          <w:sz w:val="24"/>
          <w:szCs w:val="24"/>
          <w:lang w:val="en-GB" w:eastAsia="en-GB"/>
        </w:rPr>
        <w:t>Helix Nebula</w:t>
      </w:r>
      <w:r w:rsidR="00417F49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- The </w:t>
      </w:r>
      <w:r w:rsidR="00AE251B">
        <w:rPr>
          <w:rFonts w:ascii="Calibri" w:eastAsia="Calibri" w:hAnsi="Calibri" w:cs="Times New Roman"/>
          <w:sz w:val="24"/>
          <w:szCs w:val="24"/>
          <w:lang w:val="en-GB" w:eastAsia="en-GB"/>
        </w:rPr>
        <w:t>Science Cloud (HNSciCloud) launched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a </w:t>
      </w:r>
      <w:hyperlink r:id="rId11" w:history="1">
        <w:r w:rsidR="00B44C23" w:rsidRPr="00B44C23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GB" w:eastAsia="en-GB"/>
          </w:rPr>
          <w:t>€5.3 million tender</w:t>
        </w:r>
      </w:hyperlink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for the establishment of </w:t>
      </w:r>
      <w:r w:rsidR="00B44C23"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a European hybrid cloud platform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.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The </w:t>
      </w:r>
      <w:r w:rsidR="0078794D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purpose of the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platform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 w:rsidR="0078794D" w:rsidRPr="00267B32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is</w:t>
      </w:r>
      <w:r w:rsidR="0078794D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 w:rsidR="0078794D"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 xml:space="preserve">to </w:t>
      </w:r>
      <w:r w:rsidR="00B44C23"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support the deployment of high-performance computing and big-data capabilities for scientific research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>.</w:t>
      </w:r>
    </w:p>
    <w:p w:rsidR="00B44C23" w:rsidRPr="00B44C23" w:rsidRDefault="0078794D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 w:eastAsia="en-GB"/>
        </w:rPr>
      </w:pPr>
      <w:r>
        <w:rPr>
          <w:rFonts w:ascii="Calibri" w:eastAsia="Calibri" w:hAnsi="Calibri" w:cs="Times New Roman"/>
          <w:lang w:val="en-GB" w:eastAsia="en-GB"/>
        </w:rPr>
        <w:t>Today’s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pre-commercial procurement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tender covers R&amp;D services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relevant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to the design, development and pilot use of an innovative platform to support hybrid cloud environments.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T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he 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>HNSciCloud pre-commercial procurement project</w:t>
      </w:r>
      <w:r w:rsidR="00482A3C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 w:rsidR="00482A3C">
        <w:rPr>
          <w:rFonts w:ascii="Calibri" w:eastAsia="Calibri" w:hAnsi="Calibri" w:cs="Times New Roman"/>
          <w:sz w:val="24"/>
          <w:szCs w:val="24"/>
          <w:lang w:val="en-GB" w:eastAsia="en-GB"/>
        </w:rPr>
        <w:t>i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s funded by t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en of Europe’s top research organisations</w:t>
      </w:r>
      <w:r w:rsidRPr="00B44C23">
        <w:rPr>
          <w:rFonts w:ascii="Calibri" w:eastAsia="Calibri" w:hAnsi="Calibri" w:cs="Times New Roman"/>
          <w:sz w:val="24"/>
          <w:szCs w:val="24"/>
          <w:vertAlign w:val="superscript"/>
          <w:lang w:val="en-GB"/>
        </w:rPr>
        <w:footnoteReference w:customMarkFollows="1" w:id="1"/>
        <w:t>[1]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and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by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the European Commission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.</w:t>
      </w: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The</w:t>
      </w:r>
      <w:r w:rsidR="0078794D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new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cloud platform </w:t>
      </w:r>
      <w:r w:rsidR="0078794D">
        <w:rPr>
          <w:rFonts w:ascii="Calibri" w:eastAsia="Calibri" w:hAnsi="Calibri" w:cs="Times New Roman"/>
          <w:sz w:val="24"/>
          <w:szCs w:val="24"/>
          <w:lang w:val="en-GB" w:eastAsia="en-GB"/>
        </w:rPr>
        <w:t>must address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the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many </w:t>
      </w:r>
      <w:r w:rsidR="00482A3C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challenges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>involved with</w:t>
      </w:r>
      <w:r w:rsidR="00267B32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providing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a combination of services at the Infrastructure as a Service (IaaS) level, integrated with an environment that supports the full life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cycle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>s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of </w:t>
      </w:r>
      <w:hyperlink r:id="rId12" w:history="1">
        <w:r w:rsidRPr="00B44C23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GB" w:eastAsia="en-GB"/>
          </w:rPr>
          <w:t>diverse scientific workflows</w:t>
        </w:r>
      </w:hyperlink>
      <w:r w:rsidR="0078794D">
        <w:rPr>
          <w:rFonts w:ascii="Calibri" w:eastAsia="Calibri" w:hAnsi="Calibri" w:cs="Times New Roman"/>
          <w:sz w:val="24"/>
          <w:szCs w:val="24"/>
          <w:lang w:val="en-GB" w:eastAsia="en-GB"/>
        </w:rPr>
        <w:t>. These include:</w:t>
      </w:r>
    </w:p>
    <w:p w:rsidR="00B44C23" w:rsidRPr="00B44C23" w:rsidRDefault="00B44C23" w:rsidP="00B44C2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Calibri" w:eastAsia="Calibri" w:hAnsi="Calibri" w:cs="Times New Roman"/>
          <w:lang w:val="en-GB" w:eastAsia="en-GB"/>
        </w:rPr>
      </w:pPr>
      <w:r w:rsidRPr="00B44C23">
        <w:rPr>
          <w:rFonts w:ascii="Calibri" w:eastAsia="Calibri" w:hAnsi="Calibri" w:cs="Times New Roman"/>
          <w:i/>
          <w:iCs/>
          <w:lang w:val="en-GB" w:eastAsia="en-GB"/>
        </w:rPr>
        <w:t>Compute and Storage</w:t>
      </w:r>
      <w:r w:rsidRPr="00B44C23">
        <w:rPr>
          <w:rFonts w:ascii="Calibri" w:eastAsia="Calibri" w:hAnsi="Calibri" w:cs="Times New Roman"/>
          <w:lang w:val="en-GB" w:eastAsia="en-GB"/>
        </w:rPr>
        <w:t xml:space="preserve"> – support a range of virtual machines and container configurations </w:t>
      </w:r>
      <w:r w:rsidR="00807B16">
        <w:rPr>
          <w:rFonts w:ascii="Calibri" w:eastAsia="Calibri" w:hAnsi="Calibri" w:cs="Times New Roman"/>
          <w:lang w:val="en-GB" w:eastAsia="en-GB"/>
        </w:rPr>
        <w:t xml:space="preserve">to support researchers </w:t>
      </w:r>
      <w:r w:rsidRPr="00B44C23">
        <w:rPr>
          <w:rFonts w:ascii="Calibri" w:eastAsia="Calibri" w:hAnsi="Calibri" w:cs="Times New Roman"/>
          <w:lang w:val="en-GB" w:eastAsia="en-GB"/>
        </w:rPr>
        <w:t>working with datasets in the petabyte range</w:t>
      </w:r>
    </w:p>
    <w:p w:rsidR="00B44C23" w:rsidRPr="00B44C23" w:rsidRDefault="00B44C23" w:rsidP="00B44C2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Calibri" w:eastAsia="Calibri" w:hAnsi="Calibri" w:cs="Times New Roman"/>
          <w:lang w:val="en-GB" w:eastAsia="en-GB"/>
        </w:rPr>
      </w:pPr>
      <w:r w:rsidRPr="00B44C23">
        <w:rPr>
          <w:rFonts w:ascii="Calibri" w:eastAsia="Calibri" w:hAnsi="Calibri" w:cs="Times New Roman"/>
          <w:i/>
          <w:iCs/>
          <w:lang w:val="en-GB" w:eastAsia="en-GB"/>
        </w:rPr>
        <w:t>Network Connectivity and Federated Identity Management</w:t>
      </w:r>
      <w:r w:rsidRPr="00B44C23">
        <w:rPr>
          <w:rFonts w:ascii="Calibri" w:eastAsia="Calibri" w:hAnsi="Calibri" w:cs="Times New Roman"/>
          <w:lang w:val="en-GB" w:eastAsia="en-GB"/>
        </w:rPr>
        <w:t xml:space="preserve"> – provide high-end network capacity for the whole platform</w:t>
      </w:r>
      <w:r w:rsidR="00807B16">
        <w:rPr>
          <w:rFonts w:ascii="Calibri" w:eastAsia="Calibri" w:hAnsi="Calibri" w:cs="Times New Roman"/>
          <w:lang w:val="en-GB" w:eastAsia="en-GB"/>
        </w:rPr>
        <w:t>,</w:t>
      </w:r>
      <w:r w:rsidRPr="00B44C23">
        <w:rPr>
          <w:rFonts w:ascii="Calibri" w:eastAsia="Calibri" w:hAnsi="Calibri" w:cs="Times New Roman"/>
          <w:lang w:val="en-GB" w:eastAsia="en-GB"/>
        </w:rPr>
        <w:t xml:space="preserve"> with common identity and access management</w:t>
      </w:r>
    </w:p>
    <w:p w:rsidR="00B44C23" w:rsidRPr="00B44C23" w:rsidRDefault="00B44C23" w:rsidP="00B44C2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Calibri" w:eastAsia="Calibri" w:hAnsi="Calibri" w:cs="Times New Roman"/>
          <w:lang w:val="en-GB" w:eastAsia="en-GB"/>
        </w:rPr>
      </w:pPr>
      <w:r w:rsidRPr="00B44C23">
        <w:rPr>
          <w:rFonts w:ascii="Calibri" w:eastAsia="Calibri" w:hAnsi="Calibri" w:cs="Times New Roman"/>
          <w:i/>
          <w:iCs/>
          <w:lang w:val="en-GB" w:eastAsia="en-GB"/>
        </w:rPr>
        <w:t>Service Payment Models</w:t>
      </w:r>
      <w:r w:rsidRPr="00B44C23">
        <w:rPr>
          <w:rFonts w:ascii="Calibri" w:eastAsia="Calibri" w:hAnsi="Calibri" w:cs="Times New Roman"/>
          <w:lang w:val="en-GB" w:eastAsia="en-GB"/>
        </w:rPr>
        <w:t xml:space="preserve"> - explore a range of purchasing options to determine the most appropriate ones for the scientific application workloads </w:t>
      </w:r>
      <w:r w:rsidR="00807B16">
        <w:rPr>
          <w:rFonts w:ascii="Calibri" w:eastAsia="Calibri" w:hAnsi="Calibri" w:cs="Times New Roman"/>
          <w:lang w:val="en-GB" w:eastAsia="en-GB"/>
        </w:rPr>
        <w:t>to</w:t>
      </w:r>
      <w:r w:rsidRPr="00B44C23">
        <w:rPr>
          <w:rFonts w:ascii="Calibri" w:eastAsia="Calibri" w:hAnsi="Calibri" w:cs="Times New Roman"/>
          <w:lang w:val="en-GB" w:eastAsia="en-GB"/>
        </w:rPr>
        <w:t xml:space="preserve"> be deployed</w:t>
      </w:r>
      <w:r w:rsidR="00807B16">
        <w:rPr>
          <w:rFonts w:ascii="Calibri" w:eastAsia="Calibri" w:hAnsi="Calibri" w:cs="Times New Roman"/>
          <w:lang w:val="en-GB" w:eastAsia="en-GB"/>
        </w:rPr>
        <w:t>.</w:t>
      </w:r>
    </w:p>
    <w:p w:rsidR="0078794D" w:rsidRDefault="0078794D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Pr="00B44C23" w:rsidRDefault="0078794D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 w:eastAsia="en-GB"/>
        </w:rPr>
      </w:pPr>
      <w:r>
        <w:rPr>
          <w:rFonts w:ascii="Calibri" w:eastAsia="Calibri" w:hAnsi="Calibri" w:cs="Times New Roman"/>
          <w:sz w:val="24"/>
          <w:szCs w:val="24"/>
          <w:lang w:val="en-GB" w:eastAsia="en-GB"/>
        </w:rPr>
        <w:t>The platform will serve scientists and engineers working in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high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-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energy physics, astronomy,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the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life sciences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including biomedical research,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and the photon/neutron science in which the ten procurers operate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. These procurers will be the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>first customers of the platform</w:t>
      </w:r>
      <w:r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>,</w:t>
      </w:r>
      <w:r w:rsidR="00B44C23"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and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will integrate 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their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in-house resources with the procured cloud services.</w:t>
      </w: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</w:pPr>
    </w:p>
    <w:p w:rsidR="00807B16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</w:pP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During the pilot phase,</w:t>
      </w:r>
      <w:r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the hybrid</w:t>
      </w:r>
      <w:r w:rsidR="0078794D"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 xml:space="preserve"> </w:t>
      </w:r>
      <w:r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cloud platform will provide</w:t>
      </w:r>
      <w:r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on-demand and elastic services to geographically distributed users</w:t>
      </w:r>
      <w:r w:rsidR="0073625B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>.</w:t>
      </w:r>
      <w:r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  <w:r w:rsidR="0073625B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This will include</w:t>
      </w:r>
      <w:r w:rsidR="0073625B"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 xml:space="preserve"> </w:t>
      </w:r>
      <w:r w:rsidRPr="00482A3C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 xml:space="preserve">access to data produced by research organisations and hosted on the </w:t>
      </w:r>
      <w:r w:rsidR="0073625B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p</w:t>
      </w:r>
      <w:r w:rsidR="0073625B" w:rsidRPr="00267B32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latform</w:t>
      </w:r>
      <w:r w:rsidRPr="00267B32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.</w:t>
      </w:r>
      <w:r w:rsidRPr="00B44C23"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  <w:t xml:space="preserve"> </w:t>
      </w:r>
    </w:p>
    <w:p w:rsidR="00807B16" w:rsidRDefault="00807B16" w:rsidP="00B44C2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n-GB" w:eastAsia="en-GB"/>
        </w:rPr>
      </w:pPr>
    </w:p>
    <w:p w:rsidR="0073625B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  <w:r w:rsidRPr="00B44C23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Th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e platform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>must</w:t>
      </w:r>
      <w:r w:rsidR="00807B16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482A3C">
        <w:rPr>
          <w:rFonts w:ascii="Calibri" w:eastAsia="Calibri" w:hAnsi="Calibri" w:cs="Times New Roman"/>
          <w:sz w:val="24"/>
          <w:szCs w:val="24"/>
          <w:lang w:val="en-GB" w:eastAsia="en-GB"/>
        </w:rPr>
        <w:t>serve stakeholders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beyond the initial procurers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>,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417F49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reaching out to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the private sector</w:t>
      </w:r>
      <w:r w:rsidR="00482A3C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to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offer </w:t>
      </w:r>
      <w:r w:rsidR="00807B16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innovative services 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>t</w:t>
      </w:r>
      <w:r w:rsidR="003B75CB">
        <w:rPr>
          <w:rFonts w:ascii="Calibri" w:eastAsia="Calibri" w:hAnsi="Calibri" w:cs="Times New Roman"/>
          <w:sz w:val="24"/>
          <w:szCs w:val="24"/>
          <w:lang w:val="en-GB" w:eastAsia="en-GB"/>
        </w:rPr>
        <w:t>hat</w:t>
      </w:r>
      <w:r w:rsidR="00807B1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unlock the potential of research data</w:t>
      </w:r>
      <w:r w:rsidR="0073625B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. This will open up new possibilities for 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economic growth and contribut</w:t>
      </w:r>
      <w:r w:rsidR="0073625B">
        <w:rPr>
          <w:rFonts w:ascii="Calibri" w:eastAsia="Calibri" w:hAnsi="Calibri" w:cs="Times New Roman"/>
          <w:sz w:val="24"/>
          <w:szCs w:val="24"/>
          <w:lang w:val="en-GB" w:eastAsia="en-GB"/>
        </w:rPr>
        <w:t>e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to the establishment of the </w:t>
      </w:r>
      <w:hyperlink r:id="rId13" w:history="1">
        <w:r w:rsidRPr="00B44C23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n-GB" w:eastAsia="en-GB"/>
          </w:rPr>
          <w:t>European Cloud Initiative</w:t>
        </w:r>
      </w:hyperlink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. </w:t>
      </w:r>
    </w:p>
    <w:p w:rsidR="0073625B" w:rsidRDefault="0073625B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Pr="00B44C23" w:rsidRDefault="0073625B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 w:eastAsia="en-GB"/>
        </w:rPr>
      </w:pPr>
      <w:proofErr w:type="spellStart"/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lastRenderedPageBreak/>
        <w:t>Günther</w:t>
      </w:r>
      <w:proofErr w:type="spellEnd"/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H. </w:t>
      </w:r>
      <w:r w:rsidRPr="00C60BD0">
        <w:rPr>
          <w:rFonts w:ascii="Calibri" w:eastAsia="Calibri" w:hAnsi="Calibri" w:cs="Times New Roman"/>
          <w:bCs/>
          <w:sz w:val="24"/>
          <w:szCs w:val="24"/>
          <w:lang w:val="en-GB" w:eastAsia="en-GB"/>
        </w:rPr>
        <w:t>Oettinger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, Commissioner for the Digital Economy and Society</w:t>
      </w:r>
      <w:r>
        <w:rPr>
          <w:rFonts w:ascii="Calibri" w:eastAsia="Calibri" w:hAnsi="Calibri" w:cs="Times New Roman"/>
          <w:sz w:val="24"/>
          <w:szCs w:val="24"/>
          <w:lang w:val="en-GB" w:eastAsia="en-GB"/>
        </w:rPr>
        <w:t>:</w:t>
      </w: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“</w:t>
      </w:r>
      <w:r w:rsidR="00B44C23" w:rsidRPr="00B44C23">
        <w:rPr>
          <w:rFonts w:ascii="Calibri" w:eastAsia="Calibri" w:hAnsi="Calibri" w:cs="Times New Roman"/>
          <w:i/>
          <w:iCs/>
          <w:sz w:val="24"/>
          <w:szCs w:val="24"/>
          <w:lang w:val="en-GB" w:eastAsia="en-GB"/>
        </w:rPr>
        <w:t>The European Cloud Initiative will unlock the value of big data by providing world-class supercomputing capability, high-speed connectivity and leading-edge data and software services for science, industry and the public sector</w:t>
      </w:r>
      <w:r>
        <w:rPr>
          <w:rFonts w:ascii="Calibri" w:eastAsia="Calibri" w:hAnsi="Calibri" w:cs="Times New Roman"/>
          <w:i/>
          <w:iCs/>
          <w:sz w:val="24"/>
          <w:szCs w:val="24"/>
          <w:lang w:val="en-GB" w:eastAsia="en-GB"/>
        </w:rPr>
        <w:t>.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” (See </w:t>
      </w:r>
      <w:hyperlink r:id="rId14" w:history="1">
        <w:r w:rsidR="00B44C23" w:rsidRPr="00B44C23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GB" w:eastAsia="en-GB"/>
          </w:rPr>
          <w:t>Digital Single Market</w:t>
        </w:r>
      </w:hyperlink>
      <w:r>
        <w:rPr>
          <w:rFonts w:ascii="Calibri" w:eastAsia="Calibri" w:hAnsi="Calibri" w:cs="Times New Roman"/>
          <w:color w:val="0563C1"/>
          <w:sz w:val="24"/>
          <w:szCs w:val="24"/>
          <w:u w:val="single"/>
          <w:lang w:val="en-GB" w:eastAsia="en-GB"/>
        </w:rPr>
        <w:t>.</w:t>
      </w:r>
      <w:r w:rsidR="00B44C23"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)</w:t>
      </w: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For more information visit </w:t>
      </w:r>
      <w:hyperlink r:id="rId15" w:history="1">
        <w:r w:rsidRPr="00B44C23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GB" w:eastAsia="en-GB"/>
          </w:rPr>
          <w:t>www.hnscicloud.eu</w:t>
        </w:r>
      </w:hyperlink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Default="00B44C23" w:rsidP="00924A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All questions received will be handled on the Tender Information Day hosted by CERN in Geneva, S</w:t>
      </w:r>
      <w:r w:rsidR="00924A36">
        <w:rPr>
          <w:rFonts w:ascii="Calibri" w:eastAsia="Calibri" w:hAnsi="Calibri" w:cs="Times New Roman"/>
          <w:sz w:val="24"/>
          <w:szCs w:val="24"/>
          <w:lang w:val="en-GB" w:eastAsia="en-GB"/>
        </w:rPr>
        <w:t>witzerland on 7 September 2016</w:t>
      </w:r>
      <w:r w:rsidR="00E56DC3">
        <w:rPr>
          <w:rFonts w:ascii="Calibri" w:eastAsia="Calibri" w:hAnsi="Calibri" w:cs="Times New Roman"/>
          <w:sz w:val="24"/>
          <w:szCs w:val="24"/>
          <w:lang w:val="en-GB" w:eastAsia="en-GB"/>
        </w:rPr>
        <w:t>.</w:t>
      </w:r>
      <w:r w:rsidR="00924A36">
        <w:rPr>
          <w:rFonts w:ascii="Calibri" w:eastAsia="Calibri" w:hAnsi="Calibri" w:cs="Times New Roman"/>
          <w:sz w:val="24"/>
          <w:szCs w:val="24"/>
          <w:lang w:val="en-GB" w:eastAsia="en-GB"/>
        </w:rPr>
        <w:t xml:space="preserve"> </w:t>
      </w: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B44C23" w:rsidRPr="00B44C23" w:rsidRDefault="00B44C23" w:rsidP="00B44C2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GB"/>
        </w:rPr>
      </w:pPr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Stay tuned @</w:t>
      </w:r>
      <w:proofErr w:type="spellStart"/>
      <w:r w:rsidRPr="00B44C23">
        <w:rPr>
          <w:rFonts w:ascii="Calibri" w:eastAsia="Calibri" w:hAnsi="Calibri" w:cs="Times New Roman"/>
          <w:sz w:val="24"/>
          <w:szCs w:val="24"/>
          <w:lang w:val="en-GB" w:eastAsia="en-GB"/>
        </w:rPr>
        <w:t>HelixNebulaSC</w:t>
      </w:r>
      <w:proofErr w:type="spellEnd"/>
    </w:p>
    <w:p w:rsidR="00FF1D80" w:rsidRDefault="00FF1D80" w:rsidP="002229AC">
      <w:pPr>
        <w:jc w:val="both"/>
      </w:pPr>
    </w:p>
    <w:sectPr w:rsidR="00FF1D80" w:rsidSect="009D562E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26" w:rsidRDefault="00ED2D26" w:rsidP="0034529F">
      <w:pPr>
        <w:spacing w:after="0" w:line="240" w:lineRule="auto"/>
      </w:pPr>
      <w:r>
        <w:separator/>
      </w:r>
    </w:p>
  </w:endnote>
  <w:endnote w:type="continuationSeparator" w:id="0">
    <w:p w:rsidR="00ED2D26" w:rsidRDefault="00ED2D26" w:rsidP="0034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26" w:rsidRDefault="00ED2D26" w:rsidP="0034529F">
      <w:pPr>
        <w:spacing w:after="0" w:line="240" w:lineRule="auto"/>
      </w:pPr>
      <w:r>
        <w:separator/>
      </w:r>
    </w:p>
  </w:footnote>
  <w:footnote w:type="continuationSeparator" w:id="0">
    <w:p w:rsidR="00ED2D26" w:rsidRDefault="00ED2D26" w:rsidP="0034529F">
      <w:pPr>
        <w:spacing w:after="0" w:line="240" w:lineRule="auto"/>
      </w:pPr>
      <w:r>
        <w:continuationSeparator/>
      </w:r>
    </w:p>
  </w:footnote>
  <w:footnote w:id="1">
    <w:p w:rsidR="0078794D" w:rsidRDefault="0078794D" w:rsidP="0078794D">
      <w:pPr>
        <w:pStyle w:val="Testonotaapidipagina"/>
        <w:jc w:val="both"/>
        <w:rPr>
          <w:lang w:val="en-GB"/>
        </w:rPr>
      </w:pPr>
      <w:r w:rsidRPr="00267B32">
        <w:rPr>
          <w:rStyle w:val="Rimandonotaapidipagina"/>
          <w:lang w:val="en-GB"/>
        </w:rPr>
        <w:t>[1]</w:t>
      </w:r>
      <w:r w:rsidRPr="00267B32">
        <w:rPr>
          <w:lang w:val="en-GB"/>
        </w:rPr>
        <w:t xml:space="preserve"> (1) The European Organization for Nuclear Research (CERN) [Lead Procurer], Switzerland; (2) Centre National de la </w:t>
      </w:r>
      <w:proofErr w:type="spellStart"/>
      <w:r w:rsidRPr="00267B32">
        <w:rPr>
          <w:lang w:val="en-GB"/>
        </w:rPr>
        <w:t>Recherche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Scientifique</w:t>
      </w:r>
      <w:proofErr w:type="spellEnd"/>
      <w:r w:rsidRPr="00267B32">
        <w:rPr>
          <w:lang w:val="en-GB"/>
        </w:rPr>
        <w:t xml:space="preserve">, (CNRS), France; (3) </w:t>
      </w:r>
      <w:proofErr w:type="spellStart"/>
      <w:r w:rsidRPr="00267B32">
        <w:rPr>
          <w:lang w:val="en-GB"/>
        </w:rPr>
        <w:t>Deutsches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Elektronen</w:t>
      </w:r>
      <w:proofErr w:type="spellEnd"/>
      <w:r w:rsidRPr="00267B32">
        <w:rPr>
          <w:lang w:val="en-GB"/>
        </w:rPr>
        <w:t xml:space="preserve">-Synchrotron (DESY), Germany; (4) The European Molecular Biology Laboratory (EMBL), Germany; (5) The European </w:t>
      </w:r>
      <w:proofErr w:type="spellStart"/>
      <w:r w:rsidRPr="00267B32">
        <w:rPr>
          <w:lang w:val="en-GB"/>
        </w:rPr>
        <w:t>Synchotron</w:t>
      </w:r>
      <w:proofErr w:type="spellEnd"/>
      <w:r w:rsidRPr="00267B32">
        <w:rPr>
          <w:lang w:val="en-GB"/>
        </w:rPr>
        <w:t xml:space="preserve"> Radiation Facility (ESRF), France; (6) </w:t>
      </w:r>
      <w:proofErr w:type="spellStart"/>
      <w:r w:rsidRPr="00267B32">
        <w:rPr>
          <w:lang w:val="en-GB"/>
        </w:rPr>
        <w:t>Institut</w:t>
      </w:r>
      <w:proofErr w:type="spellEnd"/>
      <w:r w:rsidRPr="00267B32">
        <w:rPr>
          <w:lang w:val="en-GB"/>
        </w:rPr>
        <w:t xml:space="preserve"> de </w:t>
      </w:r>
      <w:proofErr w:type="spellStart"/>
      <w:r w:rsidRPr="00267B32">
        <w:rPr>
          <w:lang w:val="en-GB"/>
        </w:rPr>
        <w:t>Física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d’Altes</w:t>
      </w:r>
      <w:proofErr w:type="spellEnd"/>
      <w:r w:rsidRPr="00267B32">
        <w:rPr>
          <w:lang w:val="en-GB"/>
        </w:rPr>
        <w:t xml:space="preserve"> Energies (IFAE), Spain; (7) </w:t>
      </w:r>
      <w:proofErr w:type="spellStart"/>
      <w:r w:rsidRPr="00267B32">
        <w:rPr>
          <w:lang w:val="en-GB"/>
        </w:rPr>
        <w:t>Istituto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Nazionale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di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Fisica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Nucleare</w:t>
      </w:r>
      <w:proofErr w:type="spellEnd"/>
      <w:r w:rsidRPr="00267B32">
        <w:rPr>
          <w:lang w:val="en-GB"/>
        </w:rPr>
        <w:t xml:space="preserve"> (INFN), Italy; (8) </w:t>
      </w:r>
      <w:proofErr w:type="spellStart"/>
      <w:r w:rsidRPr="00267B32">
        <w:rPr>
          <w:lang w:val="en-GB"/>
        </w:rPr>
        <w:t>Karlsruher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Institut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für</w:t>
      </w:r>
      <w:proofErr w:type="spellEnd"/>
      <w:r w:rsidRPr="00267B32">
        <w:rPr>
          <w:lang w:val="en-GB"/>
        </w:rPr>
        <w:t xml:space="preserve"> </w:t>
      </w:r>
      <w:proofErr w:type="spellStart"/>
      <w:r w:rsidRPr="00267B32">
        <w:rPr>
          <w:lang w:val="en-GB"/>
        </w:rPr>
        <w:t>Technologie</w:t>
      </w:r>
      <w:proofErr w:type="spellEnd"/>
      <w:r w:rsidRPr="00267B32">
        <w:rPr>
          <w:lang w:val="en-GB"/>
        </w:rPr>
        <w:t xml:space="preserve"> (KIT), Germany; (9) The Science and Technology Facilities Council (STFC), United Kingdom; (10) </w:t>
      </w:r>
      <w:proofErr w:type="spellStart"/>
      <w:r w:rsidRPr="00267B32">
        <w:rPr>
          <w:lang w:val="en-GB"/>
        </w:rPr>
        <w:t>SURFsara</w:t>
      </w:r>
      <w:proofErr w:type="spellEnd"/>
      <w:r w:rsidRPr="00267B32">
        <w:rPr>
          <w:lang w:val="en-GB"/>
        </w:rPr>
        <w:t>, the Netherlands.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4D" w:rsidRDefault="0078794D">
    <w:pPr>
      <w:pStyle w:val="Intestazione"/>
    </w:pPr>
    <w:r>
      <w:rPr>
        <w:noProof/>
        <w:lang w:val="en-US"/>
      </w:rPr>
      <w:drawing>
        <wp:inline distT="0" distB="0" distL="0" distR="0">
          <wp:extent cx="1609725" cy="984743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ixNebul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68" cy="101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40C"/>
    <w:multiLevelType w:val="hybridMultilevel"/>
    <w:tmpl w:val="770457B4"/>
    <w:lvl w:ilvl="0" w:tplc="AB7E7B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A1C67"/>
    <w:multiLevelType w:val="hybridMultilevel"/>
    <w:tmpl w:val="A832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FB2"/>
    <w:multiLevelType w:val="hybridMultilevel"/>
    <w:tmpl w:val="D3B8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2AFE"/>
    <w:multiLevelType w:val="hybridMultilevel"/>
    <w:tmpl w:val="00702EA8"/>
    <w:lvl w:ilvl="0" w:tplc="AB7E7B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F3678"/>
    <w:multiLevelType w:val="hybridMultilevel"/>
    <w:tmpl w:val="B6B6D5BE"/>
    <w:lvl w:ilvl="0" w:tplc="AB7E7B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4A9B"/>
    <w:rsid w:val="00001B31"/>
    <w:rsid w:val="00004091"/>
    <w:rsid w:val="000775F4"/>
    <w:rsid w:val="0011135B"/>
    <w:rsid w:val="00142F7B"/>
    <w:rsid w:val="001E48F8"/>
    <w:rsid w:val="002229AC"/>
    <w:rsid w:val="00267B32"/>
    <w:rsid w:val="00295D8F"/>
    <w:rsid w:val="002B0DB0"/>
    <w:rsid w:val="002E4A9B"/>
    <w:rsid w:val="002F072B"/>
    <w:rsid w:val="002F5A05"/>
    <w:rsid w:val="00302D09"/>
    <w:rsid w:val="00330867"/>
    <w:rsid w:val="00330FB1"/>
    <w:rsid w:val="0034529F"/>
    <w:rsid w:val="00346C58"/>
    <w:rsid w:val="00374E50"/>
    <w:rsid w:val="00392D4F"/>
    <w:rsid w:val="00393841"/>
    <w:rsid w:val="003B75CB"/>
    <w:rsid w:val="003C25DB"/>
    <w:rsid w:val="003D1CCE"/>
    <w:rsid w:val="00411AE8"/>
    <w:rsid w:val="00413C00"/>
    <w:rsid w:val="00417F49"/>
    <w:rsid w:val="00465300"/>
    <w:rsid w:val="00482A3C"/>
    <w:rsid w:val="004A7F66"/>
    <w:rsid w:val="005201A6"/>
    <w:rsid w:val="0052346E"/>
    <w:rsid w:val="00525629"/>
    <w:rsid w:val="00552BDD"/>
    <w:rsid w:val="005724C1"/>
    <w:rsid w:val="00577E27"/>
    <w:rsid w:val="00583F54"/>
    <w:rsid w:val="005F07F7"/>
    <w:rsid w:val="005F2DE0"/>
    <w:rsid w:val="0065001D"/>
    <w:rsid w:val="0067567A"/>
    <w:rsid w:val="006812C3"/>
    <w:rsid w:val="00711F36"/>
    <w:rsid w:val="007153E6"/>
    <w:rsid w:val="0073625B"/>
    <w:rsid w:val="00772B56"/>
    <w:rsid w:val="0078794D"/>
    <w:rsid w:val="00807B16"/>
    <w:rsid w:val="00841F0F"/>
    <w:rsid w:val="00842297"/>
    <w:rsid w:val="00843F3A"/>
    <w:rsid w:val="00867208"/>
    <w:rsid w:val="00880968"/>
    <w:rsid w:val="008C6283"/>
    <w:rsid w:val="008E3FB2"/>
    <w:rsid w:val="00924A36"/>
    <w:rsid w:val="009744E8"/>
    <w:rsid w:val="009D562E"/>
    <w:rsid w:val="00A72DA2"/>
    <w:rsid w:val="00A9401A"/>
    <w:rsid w:val="00AE251B"/>
    <w:rsid w:val="00AF4CD3"/>
    <w:rsid w:val="00B44C23"/>
    <w:rsid w:val="00BC1BBC"/>
    <w:rsid w:val="00BE0C56"/>
    <w:rsid w:val="00C13FDD"/>
    <w:rsid w:val="00CB2667"/>
    <w:rsid w:val="00CB7A7A"/>
    <w:rsid w:val="00CE7C78"/>
    <w:rsid w:val="00D03A92"/>
    <w:rsid w:val="00D4631B"/>
    <w:rsid w:val="00D61919"/>
    <w:rsid w:val="00D859E3"/>
    <w:rsid w:val="00DA4597"/>
    <w:rsid w:val="00DE3C87"/>
    <w:rsid w:val="00DF379E"/>
    <w:rsid w:val="00E445F6"/>
    <w:rsid w:val="00E56DC3"/>
    <w:rsid w:val="00E9175D"/>
    <w:rsid w:val="00ED2D26"/>
    <w:rsid w:val="00F2771A"/>
    <w:rsid w:val="00F33D54"/>
    <w:rsid w:val="00F37FFB"/>
    <w:rsid w:val="00F779F2"/>
    <w:rsid w:val="00FC5A64"/>
    <w:rsid w:val="00FD313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29F"/>
  </w:style>
  <w:style w:type="paragraph" w:styleId="Pidipagina">
    <w:name w:val="footer"/>
    <w:basedOn w:val="Normale"/>
    <w:link w:val="PidipaginaCarattere"/>
    <w:uiPriority w:val="99"/>
    <w:unhideWhenUsed/>
    <w:rsid w:val="00345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29F"/>
  </w:style>
  <w:style w:type="paragraph" w:styleId="Paragrafoelenco">
    <w:name w:val="List Paragraph"/>
    <w:basedOn w:val="Normale"/>
    <w:uiPriority w:val="34"/>
    <w:qFormat/>
    <w:rsid w:val="00222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29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29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29AC"/>
    <w:rPr>
      <w:vertAlign w:val="superscript"/>
    </w:rPr>
  </w:style>
  <w:style w:type="character" w:styleId="CitazioneHTML">
    <w:name w:val="HTML Cite"/>
    <w:basedOn w:val="Carpredefinitoparagrafo"/>
    <w:uiPriority w:val="99"/>
    <w:semiHidden/>
    <w:unhideWhenUsed/>
    <w:rsid w:val="00D6191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1F0F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E3C8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7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2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F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F7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11F3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5300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87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.eu/rapid/press-release_IP-16-1408_en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nscicloud.eu/hnscicloud-user-grou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nscicloud.eu/the-hnscicloud-ten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nscicloud.e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priorities/digital-single-market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BA94FCECA84DB4AD627C0A685BEC" ma:contentTypeVersion="0" ma:contentTypeDescription="Create a new document." ma:contentTypeScope="" ma:versionID="76dc81ba9d05e2be99c1772acce8e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73FE-793F-4EBB-8B55-1C73FC0EB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CB7A8-27CA-441B-9E35-C1439B8B0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A183-D7D0-42C8-A850-DFC99F86F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3197A-A953-4543-ACCD-483E27D1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Bàrtolo Crotti</cp:lastModifiedBy>
  <cp:revision>2</cp:revision>
  <dcterms:created xsi:type="dcterms:W3CDTF">2016-07-21T15:51:00Z</dcterms:created>
  <dcterms:modified xsi:type="dcterms:W3CDTF">2016-07-21T15:51:00Z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0x010100AA44BA94FCECA84DB4AD627C0A685BEC</vt:lpwstr>
  </property>
</Properties>
</file>